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26" w:rsidRPr="00865326" w:rsidRDefault="00865326" w:rsidP="0086532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Ecofont_Spranq_eco_Sans" w:eastAsia="Times New Roman" w:hAnsi="Ecofont_Spranq_eco_Sans" w:cs="Tahoma"/>
          <w:sz w:val="24"/>
          <w:szCs w:val="24"/>
          <w:lang w:eastAsia="pt-BR"/>
        </w:rPr>
      </w:pPr>
      <w:r w:rsidRPr="00865326">
        <w:rPr>
          <w:rFonts w:ascii="Ecofont_Spranq_eco_Sans" w:eastAsia="Times New Roman" w:hAnsi="Ecofont_Spranq_eco_Sans" w:cs="Tahoma"/>
          <w:sz w:val="24"/>
          <w:szCs w:val="24"/>
          <w:lang w:eastAsia="pt-BR"/>
        </w:rPr>
        <w:t xml:space="preserve">                                                                   </w:t>
      </w:r>
    </w:p>
    <w:p w:rsidR="00865326" w:rsidRPr="00865326" w:rsidRDefault="00865326" w:rsidP="0086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ahoma"/>
          <w:b/>
          <w:bCs/>
          <w:sz w:val="24"/>
          <w:szCs w:val="24"/>
          <w:highlight w:val="yellow"/>
          <w:lang w:eastAsia="pt-BR"/>
        </w:rPr>
        <w:t>MINUTA</w:t>
      </w:r>
      <w:r w:rsidRPr="00865326">
        <w:rPr>
          <w:rFonts w:ascii="Times New Roman" w:eastAsia="Times New Roman" w:hAnsi="Times New Roman" w:cs="Tahoma"/>
          <w:sz w:val="24"/>
          <w:szCs w:val="24"/>
          <w:lang w:eastAsia="pt-BR"/>
        </w:rPr>
        <w:t xml:space="preserve"> </w:t>
      </w:r>
      <w:r w:rsidRPr="008653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REFERÊNCIA</w:t>
      </w:r>
    </w:p>
    <w:p w:rsidR="00865326" w:rsidRPr="00865326" w:rsidRDefault="00865326" w:rsidP="0086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65326" w:rsidRPr="00865326" w:rsidRDefault="00865326" w:rsidP="0086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LUMINÁRIAS PARA ILUMINAÇÃO PÚBLICA EM LED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DESCRIÇÃO DO OBJETO:</w:t>
      </w:r>
    </w:p>
    <w:p w:rsidR="00865326" w:rsidRPr="00865326" w:rsidRDefault="00865326" w:rsidP="0086532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Fornecimento e instalação de </w:t>
      </w:r>
      <w:bookmarkStart w:id="0" w:name="_Hlk13834365"/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instrText xml:space="preserve"> FORMTEXT </w:instrText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fldChar w:fldCharType="separate"/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fldChar w:fldCharType="end"/>
      </w:r>
      <w:bookmarkEnd w:id="0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luminárias p</w:t>
      </w: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ara iluminação pública em LED, conforme classificação da via - NBR 5101:2018, com: i) alto fator de potência; </w:t>
      </w:r>
      <w:proofErr w:type="spell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</w:t>
      </w:r>
      <w:proofErr w:type="spell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baixa distorção harmônica; </w:t>
      </w:r>
      <w:proofErr w:type="spell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</w:t>
      </w:r>
      <w:proofErr w:type="spell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alto índice de reprodução de cor; </w:t>
      </w:r>
      <w:proofErr w:type="spell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</w:t>
      </w:r>
      <w:proofErr w:type="spell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aplicação na tensão de 220V; v) temperatura de cor 4.000k; vi) base para relé de 3 pinos ou superior; </w:t>
      </w:r>
      <w:proofErr w:type="spell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</w:t>
      </w:r>
      <w:proofErr w:type="spell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vida útil ≥ 50 mil horas; e </w:t>
      </w:r>
      <w:proofErr w:type="spell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</w:t>
      </w:r>
      <w:proofErr w:type="spell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garantia total de 5 anos;</w:t>
      </w:r>
    </w:p>
    <w:p w:rsidR="00865326" w:rsidRPr="00865326" w:rsidRDefault="00865326" w:rsidP="0086532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Remoção e descarte adequado dos equipamentos de iluminação substituídos (lâmpadas de descarga, luminárias e reatores);</w:t>
      </w:r>
    </w:p>
    <w:p w:rsidR="00865326" w:rsidRPr="00865326" w:rsidRDefault="00865326" w:rsidP="0086532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Fornecimento e instalação de 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instrText xml:space="preserve"> FORMTEXT </w:instrTex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separate"/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end"/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 xml:space="preserve"> braços para fixação de luminárias em LED (modelo 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instrText xml:space="preserve"> FORMTEXT </w:instrTex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separate"/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end"/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t xml:space="preserve">), em substituição de braços existentes incompatíveis para este tipo de luminária. </w:t>
      </w:r>
      <w:r w:rsidRPr="0086532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t-BR"/>
        </w:rPr>
        <w:t xml:space="preserve">(item a ser incluído apenas se necessário. </w:t>
      </w:r>
    </w:p>
    <w:p w:rsidR="00865326" w:rsidRPr="00865326" w:rsidRDefault="00865326" w:rsidP="00865326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ind w:left="788" w:hanging="4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Classificação da Via (tráfego de veículos) – NBR 5101:2018: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V1: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 trânsito rápido ou arterial (tráfego intenso);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V2: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 trânsito rápido ou arterial (tráfego médio), ou coletora (tráfego intenso);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V3: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 coletora (tráfego médio);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V4: 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coletora (tráfego leve) ou local (tráfego médio);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V5: 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local (tráfego leve).</w:t>
      </w:r>
    </w:p>
    <w:p w:rsidR="00865326" w:rsidRPr="00865326" w:rsidRDefault="00865326" w:rsidP="00865326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Classificação da Via (tráfego de pedestre) – NBR 5101:2018: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P1: </w:t>
      </w:r>
      <w:r w:rsidRPr="00865326">
        <w:rPr>
          <w:rFonts w:ascii="Times New Roman" w:eastAsia="Calibri" w:hAnsi="Times New Roman" w:cs="Times New Roman"/>
          <w:sz w:val="24"/>
          <w:szCs w:val="24"/>
        </w:rPr>
        <w:t>uso noturno intenso (calçadões e ruas de comércio);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P2: </w:t>
      </w: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uso noturno </w:t>
      </w:r>
      <w:proofErr w:type="spellStart"/>
      <w:r w:rsidRPr="00865326">
        <w:rPr>
          <w:rFonts w:ascii="Times New Roman" w:eastAsia="Calibri" w:hAnsi="Times New Roman" w:cs="Times New Roman"/>
          <w:sz w:val="24"/>
          <w:szCs w:val="24"/>
        </w:rPr>
        <w:t>semi-intenso</w:t>
      </w:r>
      <w:proofErr w:type="spellEnd"/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 (avenidas, praças e áreas de lazer);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P3: </w:t>
      </w:r>
      <w:r w:rsidRPr="00865326">
        <w:rPr>
          <w:rFonts w:ascii="Times New Roman" w:eastAsia="Calibri" w:hAnsi="Times New Roman" w:cs="Times New Roman"/>
          <w:sz w:val="24"/>
          <w:szCs w:val="24"/>
        </w:rPr>
        <w:t>uso noturno moderado (passeios, acostamentos);</w:t>
      </w:r>
    </w:p>
    <w:p w:rsidR="00865326" w:rsidRDefault="00865326" w:rsidP="00865326">
      <w:p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P4: </w:t>
      </w:r>
      <w:r w:rsidRPr="00865326">
        <w:rPr>
          <w:rFonts w:ascii="Times New Roman" w:eastAsia="Calibri" w:hAnsi="Times New Roman" w:cs="Times New Roman"/>
          <w:sz w:val="24"/>
          <w:szCs w:val="24"/>
        </w:rPr>
        <w:t>uso noturno baixo (passeio de bairro residencial).</w:t>
      </w:r>
    </w:p>
    <w:p w:rsidR="00FB3B69" w:rsidRPr="00865326" w:rsidRDefault="00FB3B69" w:rsidP="00865326">
      <w:pPr>
        <w:autoSpaceDE w:val="0"/>
        <w:autoSpaceDN w:val="0"/>
        <w:adjustRightInd w:val="0"/>
        <w:spacing w:after="0" w:line="360" w:lineRule="auto"/>
        <w:ind w:left="7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ESPECIFICAÇÕES DO OBJETO: </w:t>
      </w:r>
    </w:p>
    <w:p w:rsidR="00865326" w:rsidRPr="00865326" w:rsidRDefault="00865326" w:rsidP="00865326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ind w:left="788" w:hanging="4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Quantidades de luminárias e potências máximas: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>Quantidades de luminárias a serem fornecidas e instaladas:</w:t>
      </w:r>
    </w:p>
    <w:tbl>
      <w:tblPr>
        <w:tblW w:w="808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04"/>
        <w:gridCol w:w="1483"/>
        <w:gridCol w:w="1857"/>
        <w:gridCol w:w="2536"/>
      </w:tblGrid>
      <w:tr w:rsidR="00865326" w:rsidRPr="00865326" w:rsidTr="00B95AB2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CLASSIFICAÇÃO DA VIA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POTÊNCIA MÁX. (W)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422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2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LOCAL (LOGRADOURO / TRECHO)</w:t>
            </w:r>
          </w:p>
        </w:tc>
      </w:tr>
      <w:tr w:rsidR="00865326" w:rsidRPr="00865326" w:rsidTr="00B95AB2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65326" w:rsidRPr="00865326" w:rsidTr="00B95AB2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V2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65326" w:rsidRPr="00865326" w:rsidTr="00B95AB2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V3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65326" w:rsidRPr="00865326" w:rsidTr="00B95AB2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V4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65326" w:rsidRPr="00865326" w:rsidTr="00B95AB2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V5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separate"/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 </w:t>
            </w:r>
            <w:r w:rsidRPr="008653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5326" w:rsidRPr="00865326" w:rsidRDefault="00865326" w:rsidP="00865326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ind w:left="788" w:hanging="4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Características elétricas e fotométricas das luminárias: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Eficiência ≥ 100 (</w:t>
      </w:r>
      <w:proofErr w:type="spellStart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lm</w:t>
      </w:r>
      <w:proofErr w:type="spellEnd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/W);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Fator de potência ≥ 0,92;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Distorção harmônica total (THD) ≤ 20%;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A luminária deve possuir protetor de surto DPS externo ao driver;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Vida útil igual ou superior a 50.000 (cinquenta mil) horas para o conjunto;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Tensão de uso 220V;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Driver incorporado internamente à luminária;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Temperatura de cor 4.000K, com variação aceitável entre 3.710K e 4.260K;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Índice de reprodução de cor ≥ 70;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Controle de distribuição limitada;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Distribuição longitudinal média</w:t>
      </w:r>
      <w:r w:rsidRPr="00865326">
        <w:rPr>
          <w:rFonts w:ascii="Times New Roman" w:eastAsia="Calibri" w:hAnsi="Times New Roman" w:cs="Times New Roman"/>
          <w:color w:val="44546A"/>
          <w:sz w:val="24"/>
          <w:szCs w:val="24"/>
          <w:vertAlign w:val="superscript"/>
        </w:rPr>
        <w:footnoteReference w:id="1"/>
      </w:r>
      <w:r w:rsidRPr="00865326">
        <w:rPr>
          <w:rFonts w:ascii="Times New Roman" w:eastAsia="Calibri" w:hAnsi="Times New Roman" w:cs="Times New Roman"/>
          <w:color w:val="44546A"/>
          <w:sz w:val="24"/>
          <w:szCs w:val="24"/>
        </w:rPr>
        <w:t>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Distribuição transversal tipo II</w:t>
      </w:r>
      <w:r w:rsidRPr="00865326">
        <w:rPr>
          <w:rFonts w:ascii="Times New Roman" w:eastAsia="Calibri" w:hAnsi="Times New Roman" w:cs="Times New Roman"/>
          <w:color w:val="44546A"/>
          <w:sz w:val="24"/>
          <w:szCs w:val="24"/>
          <w:vertAlign w:val="superscript"/>
        </w:rPr>
        <w:footnoteReference w:id="2"/>
      </w: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5326" w:rsidRPr="00865326" w:rsidRDefault="00865326" w:rsidP="00865326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ind w:left="788" w:hanging="4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Características mecânicas: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Proteção mecânica mínima IK08 (grau de proteção antivandalismo);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Grau de proteção no mínimo IP-66 (</w:t>
      </w:r>
      <w:proofErr w:type="spellStart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Ingress</w:t>
      </w:r>
      <w:proofErr w:type="spellEnd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Protection</w:t>
      </w:r>
      <w:proofErr w:type="spellEnd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Encaixe lateral para braço de Ø48mm e Ø60,3mm;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Pintura eletrostática com tinta poliéster em pó na cor cinza;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Possuir na sua parte superior uma tomada padrão 3 </w:t>
      </w: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pinos </w:t>
      </w: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ou superior;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Fácil montagem para instalação;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abertura e fechamento da luminária deve permitir fácil acesso aos seus componentes sem perda de vedação e grau de proteção;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Possuir aletas de dissipação de calor, formadas no próprio corpo da luminária, e todo o seu corpo em alumínio injetado à alta pressão; </w:t>
      </w:r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Não possuir orifícios ou cavidades que acumulem sujeira ou permitam a entrada de insetos; </w:t>
      </w:r>
    </w:p>
    <w:p w:rsidR="00865326" w:rsidRPr="00865326" w:rsidRDefault="00FB3B69" w:rsidP="00FB3B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A7E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D55A7E">
        <w:rPr>
          <w:rFonts w:ascii="Times New Roman" w:eastAsia="Calibri" w:hAnsi="Times New Roman" w:cs="Times New Roman"/>
          <w:color w:val="000000"/>
          <w:sz w:val="24"/>
          <w:szCs w:val="24"/>
        </w:rPr>
        <w:t>roteção</w:t>
      </w:r>
      <w:r w:rsidRPr="00D55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conjunto </w:t>
      </w:r>
      <w:r w:rsidR="00D55A7E" w:rsidRPr="00D55A7E">
        <w:rPr>
          <w:rFonts w:ascii="Times New Roman" w:eastAsia="Calibri" w:hAnsi="Times New Roman" w:cs="Times New Roman"/>
          <w:color w:val="000000"/>
          <w:sz w:val="24"/>
          <w:szCs w:val="24"/>
        </w:rPr>
        <w:t>óptico</w:t>
      </w:r>
      <w:r w:rsidRPr="00D55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 vidro temperado, exceto no caso de uso de</w:t>
      </w:r>
      <w:r w:rsidR="00D55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5A7E">
        <w:rPr>
          <w:rFonts w:ascii="Times New Roman" w:eastAsia="Calibri" w:hAnsi="Times New Roman" w:cs="Times New Roman"/>
          <w:color w:val="000000"/>
          <w:sz w:val="24"/>
          <w:szCs w:val="24"/>
        </w:rPr>
        <w:t>lentes de silicone (vidro é opcional para lentes de silicone)</w:t>
      </w:r>
      <w:r w:rsidR="00D55A7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bookmarkStart w:id="1" w:name="_GoBack"/>
      <w:bookmarkEnd w:id="1"/>
    </w:p>
    <w:p w:rsidR="00865326" w:rsidRPr="00865326" w:rsidRDefault="00865326" w:rsidP="0086532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O conjunto deverá ser apropriado para trabalhar em temperaturas do ar ambiente entre -5°C e +35°C, no período noturno.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CERTIFICAÇÃO, GARANTIA E ESTUDO LUMINOTÉCNICO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 xml:space="preserve">A </w:t>
      </w:r>
      <w:r w:rsidRPr="00865326">
        <w:rPr>
          <w:rFonts w:ascii="Times New Roman" w:eastAsia="ArialMT" w:hAnsi="Times New Roman" w:cs="Times New Roman"/>
          <w:b/>
          <w:bCs/>
          <w:sz w:val="24"/>
          <w:szCs w:val="24"/>
          <w:lang w:eastAsia="pt-BR"/>
        </w:rPr>
        <w:t>empresa classificada provisoriamente em primeiro lugar</w:t>
      </w: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, conforme regras do processo licitatório, deverá fornecer juntamente com os documentos exigidos no item 08 e ss. do instrumento convocatório, em até 03 (três) dias úteis, prorrogáveis por igual período, os seguintes documentos:</w:t>
      </w:r>
    </w:p>
    <w:p w:rsidR="00865326" w:rsidRPr="00865326" w:rsidRDefault="00865326" w:rsidP="0086532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98" w:hanging="378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 xml:space="preserve">Luminária(s) Certificada(s) </w:t>
      </w:r>
      <w:proofErr w:type="gramStart"/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e Registrada</w:t>
      </w:r>
      <w:proofErr w:type="gramEnd"/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 xml:space="preserve">(s) de conformidade do(s) produto(s) a ser(em) fornecido(s), emitido(s) pelo INMETRO; </w:t>
      </w:r>
    </w:p>
    <w:p w:rsidR="00865326" w:rsidRPr="00865326" w:rsidRDefault="00865326" w:rsidP="0086532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98" w:hanging="378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 xml:space="preserve">Carta de garantia do fabricante, endereçada ao município, com a relação de </w:t>
      </w:r>
      <w:r w:rsidRPr="00865326">
        <w:rPr>
          <w:rFonts w:ascii="Times New Roman" w:eastAsia="ArialMT" w:hAnsi="Times New Roman" w:cs="Times New Roman"/>
          <w:i/>
          <w:iCs/>
          <w:sz w:val="24"/>
          <w:szCs w:val="24"/>
          <w:lang w:eastAsia="pt-BR"/>
        </w:rPr>
        <w:t>todos os itens cobertos pela garantia e a data de vigência desta; (05 anos)</w:t>
      </w:r>
    </w:p>
    <w:p w:rsidR="00865326" w:rsidRPr="00865326" w:rsidRDefault="00865326" w:rsidP="00865326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2.1) Durante o prazo de garantia o Contratante deverá informar a Contratada, se necessário, via ofício e/ou e-mail, providências na substituição da(s) peça(s) com defeito, no prazo máximo de 10 (dez) dias úteis, contados do comunicado, para que o município providencie a substituição.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2.2) Enquanto durar o período de garantia do fabricante, será de inteira responsabilidade da Contratada todos os custos com transporte da mercadoria para o Município, bem como o método de embalagem adequado à proteção efetiva </w:t>
      </w:r>
      <w:proofErr w:type="gram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contra choque</w:t>
      </w:r>
      <w:proofErr w:type="gram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intempéries no deslocamento.</w:t>
      </w:r>
    </w:p>
    <w:p w:rsidR="00865326" w:rsidRPr="00865326" w:rsidRDefault="00865326" w:rsidP="0086532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98" w:hanging="378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Declaração de fornecimento; (Anexo nº 08)</w:t>
      </w:r>
    </w:p>
    <w:p w:rsidR="00865326" w:rsidRDefault="00865326" w:rsidP="0086532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98" w:hanging="378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 xml:space="preserve"> Estudo Luminotécnico da(s) luminária(s) a ser(erem) fornecida(s), em conformidade com a NBR 5101:2018 e as disposições deste Termo de Referência. O estudo deverá vir assinado pelo responsável técnico.</w:t>
      </w:r>
    </w:p>
    <w:p w:rsidR="00FB3B69" w:rsidRPr="00865326" w:rsidRDefault="00FB3B69" w:rsidP="00FB3B69">
      <w:pPr>
        <w:autoSpaceDE w:val="0"/>
        <w:autoSpaceDN w:val="0"/>
        <w:adjustRightInd w:val="0"/>
        <w:spacing w:after="0" w:line="360" w:lineRule="auto"/>
        <w:ind w:left="1498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</w:p>
    <w:p w:rsidR="00865326" w:rsidRPr="00865326" w:rsidRDefault="00865326" w:rsidP="0086532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5326" w:rsidRPr="00865326" w:rsidRDefault="00865326" w:rsidP="00865326">
      <w:pPr>
        <w:numPr>
          <w:ilvl w:val="1"/>
          <w:numId w:val="11"/>
        </w:numPr>
        <w:autoSpaceDE w:val="0"/>
        <w:autoSpaceDN w:val="0"/>
        <w:adjustRightInd w:val="0"/>
        <w:spacing w:before="120" w:after="120" w:line="360" w:lineRule="auto"/>
        <w:ind w:left="788" w:hanging="43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Estudo Luminotécnico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A empresa primeira colocada deverá apresentar juntamente com o certificado (e Registrado) de conformidade do produto emitido pelo INMETRO e a carta de garantia do fabricante, conforme condições do item 3, estudo luminotécnico impresso e digital compreendendo: i) as exigências deste Termo de Referência; </w:t>
      </w:r>
      <w:proofErr w:type="spellStart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ii</w:t>
      </w:r>
      <w:proofErr w:type="spellEnd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) as especificações da NBR 5101:2018; e </w:t>
      </w:r>
      <w:proofErr w:type="spellStart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iii</w:t>
      </w:r>
      <w:proofErr w:type="spellEnd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) a(s) curva(s) IES do(s) equipamento(s) a ser(erem) fornecido(s). Juntamente com o arquivo IES, deverá ser fornecido também o arquivo digital do estudo elaborado no </w:t>
      </w:r>
      <w:proofErr w:type="spellStart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DiALux</w:t>
      </w:r>
      <w:proofErr w:type="spellEnd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.</w:t>
      </w:r>
    </w:p>
    <w:p w:rsidR="00865326" w:rsidRPr="00865326" w:rsidRDefault="00865326" w:rsidP="00865326">
      <w:pPr>
        <w:numPr>
          <w:ilvl w:val="2"/>
          <w:numId w:val="11"/>
        </w:numPr>
        <w:autoSpaceDE w:val="0"/>
        <w:autoSpaceDN w:val="0"/>
        <w:adjustRightInd w:val="0"/>
        <w:spacing w:before="120" w:after="120" w:line="36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>Parâmetros para estudo Luminotécnico:</w:t>
      </w:r>
    </w:p>
    <w:p w:rsidR="00865326" w:rsidRPr="00865326" w:rsidRDefault="00865326" w:rsidP="00865326">
      <w:pPr>
        <w:spacing w:after="223" w:line="360" w:lineRule="auto"/>
        <w:ind w:left="-5" w:right="65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Os parâmetros abaixo deverão ser adotados, neste estudo, nas simulações e cálculos da iluminâncias e do fator de uniformidade alcançado pela(s) luminária(s) a ser(em) fornecida(s), para identificar o ganho em eficiência energética e desempenho do sistema de iluminação pública, decorrente deste investimento.</w:t>
      </w: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Parâmetros gerais para todos os tipos de Via: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4408"/>
      </w:tblGrid>
      <w:tr w:rsidR="00865326" w:rsidRPr="00865326" w:rsidTr="00B95AB2">
        <w:tc>
          <w:tcPr>
            <w:tcW w:w="4390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i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46835" cy="1754505"/>
                  <wp:effectExtent l="0" t="0" r="571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Largura da calçada: 3,0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Distância média entre postes: 35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Distribuição: unilateral em cima;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Inclinação do braço extensor (3): 5°;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Distância de instalação do poste: (4) – (2) = 0,30 m.</w:t>
            </w: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865326" w:rsidRPr="00865326" w:rsidTr="00B95AB2">
        <w:tc>
          <w:tcPr>
            <w:tcW w:w="4390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</w:tc>
      </w:tr>
    </w:tbl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>Dados da Malha de Cálculo:</w:t>
      </w:r>
    </w:p>
    <w:p w:rsidR="00865326" w:rsidRPr="00865326" w:rsidRDefault="00865326" w:rsidP="0086532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Deve ser posicionada em conformidade com a NBR 5101-2018 possuindo:</w:t>
      </w:r>
    </w:p>
    <w:p w:rsidR="00865326" w:rsidRPr="00865326" w:rsidRDefault="00865326" w:rsidP="008653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414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uma linha transversal alinhada com cada luminária;</w:t>
      </w:r>
    </w:p>
    <w:p w:rsidR="00865326" w:rsidRPr="00865326" w:rsidRDefault="00865326" w:rsidP="008653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414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uma linha transversal no ponto médio entre as duas luminárias;</w:t>
      </w:r>
    </w:p>
    <w:p w:rsidR="00865326" w:rsidRPr="00865326" w:rsidRDefault="00865326" w:rsidP="008653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414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uma linha longitudinal no eixo de cada faixa;</w:t>
      </w:r>
    </w:p>
    <w:p w:rsidR="00865326" w:rsidRPr="00865326" w:rsidRDefault="00865326" w:rsidP="008653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414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uma linha longitudinal no eixo de cada calçada/passeio.</w:t>
      </w:r>
    </w:p>
    <w:p w:rsidR="00865326" w:rsidRPr="00865326" w:rsidRDefault="00865326" w:rsidP="0086532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 xml:space="preserve">Deve ser composta por 17 colunas de pontos igualmente distribuídas na direção longitudinal e cinco fileiras de pontos em cada faixa de rolamento, onde a primeira </w:t>
      </w: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lastRenderedPageBreak/>
        <w:t>e última coluna coincidam com a posição dos postes sendo, portanto, a quantidade total de pontos de acordo com a tabela: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09"/>
      </w:tblGrid>
      <w:tr w:rsidR="00865326" w:rsidRPr="00865326" w:rsidTr="00B95AB2">
        <w:tc>
          <w:tcPr>
            <w:tcW w:w="1966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  <w:t>Número de faixas de rolamentos</w:t>
            </w:r>
          </w:p>
        </w:tc>
        <w:tc>
          <w:tcPr>
            <w:tcW w:w="2409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pt-BR"/>
              </w:rPr>
              <w:t>Quantidade de pontos da grade de cálculo</w:t>
            </w:r>
          </w:p>
        </w:tc>
      </w:tr>
      <w:tr w:rsidR="00865326" w:rsidRPr="00865326" w:rsidTr="00B95AB2">
        <w:tc>
          <w:tcPr>
            <w:tcW w:w="1966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17 x 5 = 85</w:t>
            </w:r>
          </w:p>
        </w:tc>
      </w:tr>
      <w:tr w:rsidR="00865326" w:rsidRPr="00865326" w:rsidTr="00B95AB2">
        <w:tc>
          <w:tcPr>
            <w:tcW w:w="1966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17 x 10 = 170</w:t>
            </w:r>
          </w:p>
        </w:tc>
      </w:tr>
      <w:tr w:rsidR="00865326" w:rsidRPr="00865326" w:rsidTr="00B95AB2">
        <w:tc>
          <w:tcPr>
            <w:tcW w:w="1966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17 x 15 = 255</w:t>
            </w:r>
          </w:p>
        </w:tc>
      </w:tr>
      <w:tr w:rsidR="00865326" w:rsidRPr="00865326" w:rsidTr="00B95AB2">
        <w:tc>
          <w:tcPr>
            <w:tcW w:w="1966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17 x 20 = 340</w:t>
            </w:r>
          </w:p>
        </w:tc>
      </w:tr>
      <w:tr w:rsidR="00865326" w:rsidRPr="00865326" w:rsidTr="00B95AB2">
        <w:tc>
          <w:tcPr>
            <w:tcW w:w="1966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17 x 25 = 425</w:t>
            </w:r>
          </w:p>
        </w:tc>
      </w:tr>
    </w:tbl>
    <w:p w:rsidR="00865326" w:rsidRPr="00865326" w:rsidRDefault="00865326" w:rsidP="00865326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ArialMT" w:hAnsi="Times New Roman" w:cs="Times New Roman"/>
          <w:sz w:val="24"/>
          <w:szCs w:val="24"/>
          <w:lang w:eastAsia="pt-BR"/>
        </w:rPr>
        <w:t>Calçadas/passeios devem possuir duas linhas longitudinais espaçadas entre elas em uma distância “d” e entre uma linha e a extremidade da calçada/passeio adjacente, espaçadas em “d/2”; contendo 17 pontos de cálculo, em posição coincidente aos pontos das faixas de rolamentos.</w:t>
      </w:r>
    </w:p>
    <w:p w:rsidR="00865326" w:rsidRPr="00865326" w:rsidRDefault="00865326" w:rsidP="008653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Parâmetros específicos para 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V1 </w:t>
      </w:r>
      <w:r w:rsidRPr="00865326">
        <w:rPr>
          <w:rFonts w:ascii="Times New Roman" w:eastAsia="Calibri" w:hAnsi="Times New Roman" w:cs="Times New Roman"/>
          <w:sz w:val="24"/>
          <w:szCs w:val="24"/>
        </w:rPr>
        <w:t>– Calçada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P2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3428"/>
      </w:tblGrid>
      <w:tr w:rsidR="00865326" w:rsidRPr="00865326" w:rsidTr="00B95AB2">
        <w:tc>
          <w:tcPr>
            <w:tcW w:w="4962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076575" cy="3348990"/>
                  <wp:effectExtent l="0" t="0" r="9525" b="381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6" t="6761" r="44934" b="4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Largura da pista de rolamento: 12,00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 xml:space="preserve">Comprimento do braço extensor (4): 3,00 </w:t>
            </w: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metros</w:t>
            </w: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Altura do ponto de luz (1): 10,0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Pendor do ponto de luz (2): 2,70 metros.</w:t>
            </w: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3B69" w:rsidRDefault="00FB3B69" w:rsidP="00FB3B69">
      <w:pPr>
        <w:autoSpaceDE w:val="0"/>
        <w:autoSpaceDN w:val="0"/>
        <w:adjustRightInd w:val="0"/>
        <w:spacing w:before="120" w:after="120" w:line="360" w:lineRule="auto"/>
        <w:ind w:left="16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3B69" w:rsidRDefault="00FB3B69" w:rsidP="00FB3B69">
      <w:pPr>
        <w:autoSpaceDE w:val="0"/>
        <w:autoSpaceDN w:val="0"/>
        <w:adjustRightInd w:val="0"/>
        <w:spacing w:before="120" w:after="120" w:line="360" w:lineRule="auto"/>
        <w:ind w:left="16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3B69" w:rsidRDefault="00FB3B69" w:rsidP="00FB3B69">
      <w:pPr>
        <w:autoSpaceDE w:val="0"/>
        <w:autoSpaceDN w:val="0"/>
        <w:adjustRightInd w:val="0"/>
        <w:spacing w:before="120" w:after="120" w:line="360" w:lineRule="auto"/>
        <w:ind w:left="16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3B69" w:rsidRDefault="00FB3B69" w:rsidP="00FB3B69">
      <w:pPr>
        <w:autoSpaceDE w:val="0"/>
        <w:autoSpaceDN w:val="0"/>
        <w:adjustRightInd w:val="0"/>
        <w:spacing w:before="120" w:after="120" w:line="360" w:lineRule="auto"/>
        <w:ind w:left="16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Parâmetros específicos para 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V2 </w:t>
      </w:r>
      <w:r w:rsidRPr="00865326">
        <w:rPr>
          <w:rFonts w:ascii="Times New Roman" w:eastAsia="Calibri" w:hAnsi="Times New Roman" w:cs="Times New Roman"/>
          <w:sz w:val="24"/>
          <w:szCs w:val="24"/>
        </w:rPr>
        <w:t>– Calçada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P2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3365"/>
      </w:tblGrid>
      <w:tr w:rsidR="00865326" w:rsidRPr="00865326" w:rsidTr="00B95AB2">
        <w:tc>
          <w:tcPr>
            <w:tcW w:w="4962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126105" cy="3249930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6" t="8427" r="44907" b="7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Largura da pista de rolamento: 10,8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Comprimento do braço extensor (4): 2,50 metros</w:t>
            </w: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Altura do ponto de luz (1): 9,0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Pendor do ponto de luz (2): 2,20 metros.</w:t>
            </w: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Parâmetros específicos para 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V3 </w:t>
      </w:r>
      <w:r w:rsidRPr="00865326">
        <w:rPr>
          <w:rFonts w:ascii="Times New Roman" w:eastAsia="Calibri" w:hAnsi="Times New Roman" w:cs="Times New Roman"/>
          <w:sz w:val="24"/>
          <w:szCs w:val="24"/>
        </w:rPr>
        <w:t>– Calçada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P3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3098"/>
      </w:tblGrid>
      <w:tr w:rsidR="00865326" w:rsidRPr="00865326" w:rsidTr="00B95AB2">
        <w:tc>
          <w:tcPr>
            <w:tcW w:w="4962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286760" cy="2743200"/>
                  <wp:effectExtent l="0" t="0" r="889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7" t="5688" r="29977" b="9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Largura da pista de rolamento: 9,0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Comprimento do braço extensor (4): 1,50 metro</w:t>
            </w: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Altura do ponto de luz (1): 8,0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Pendor do ponto de luz (2): 1,20 metro.</w:t>
            </w: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865326" w:rsidRPr="00865326" w:rsidTr="00B95AB2">
        <w:tc>
          <w:tcPr>
            <w:tcW w:w="4962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360" w:lineRule="auto"/>
              <w:ind w:left="460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</w:p>
        </w:tc>
      </w:tr>
    </w:tbl>
    <w:p w:rsidR="00865326" w:rsidRPr="00865326" w:rsidRDefault="00865326" w:rsidP="00865326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5326" w:rsidRDefault="00865326" w:rsidP="00865326">
      <w:pPr>
        <w:autoSpaceDE w:val="0"/>
        <w:autoSpaceDN w:val="0"/>
        <w:adjustRightInd w:val="0"/>
        <w:spacing w:before="120" w:after="120" w:line="36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3B69" w:rsidRDefault="00FB3B69" w:rsidP="00865326">
      <w:pPr>
        <w:autoSpaceDE w:val="0"/>
        <w:autoSpaceDN w:val="0"/>
        <w:adjustRightInd w:val="0"/>
        <w:spacing w:before="120" w:after="120" w:line="36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3B69" w:rsidRPr="00865326" w:rsidRDefault="00FB3B69" w:rsidP="00865326">
      <w:pPr>
        <w:autoSpaceDE w:val="0"/>
        <w:autoSpaceDN w:val="0"/>
        <w:adjustRightInd w:val="0"/>
        <w:spacing w:before="120" w:after="120" w:line="36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Parâmetros específicos para 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V4 </w:t>
      </w:r>
      <w:r w:rsidRPr="00865326">
        <w:rPr>
          <w:rFonts w:ascii="Times New Roman" w:eastAsia="Calibri" w:hAnsi="Times New Roman" w:cs="Times New Roman"/>
          <w:sz w:val="24"/>
          <w:szCs w:val="24"/>
        </w:rPr>
        <w:t>– Calçada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P4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3158"/>
      </w:tblGrid>
      <w:tr w:rsidR="00865326" w:rsidRPr="00865326" w:rsidTr="00B95AB2">
        <w:tc>
          <w:tcPr>
            <w:tcW w:w="4962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249930" cy="2953385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5" t="7162" r="39812" b="12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930" cy="295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Largura da pista de rolamento: 9,0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Comprimento do braço extensor (4): 1,50 metro</w:t>
            </w: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Altura do ponto de luz (1): 8,0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Pendor do ponto de luz (2): 1,20 metro.</w:t>
            </w: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65326" w:rsidRPr="00865326" w:rsidRDefault="00865326" w:rsidP="00865326">
      <w:pPr>
        <w:autoSpaceDE w:val="0"/>
        <w:autoSpaceDN w:val="0"/>
        <w:adjustRightInd w:val="0"/>
        <w:spacing w:before="120" w:after="120" w:line="360" w:lineRule="auto"/>
        <w:ind w:left="172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Parâmetros específicos para 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V5 – </w:t>
      </w:r>
      <w:r w:rsidRPr="00865326">
        <w:rPr>
          <w:rFonts w:ascii="Times New Roman" w:eastAsia="Calibri" w:hAnsi="Times New Roman" w:cs="Times New Roman"/>
          <w:sz w:val="24"/>
          <w:szCs w:val="24"/>
        </w:rPr>
        <w:t>Calçada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P4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3098"/>
      </w:tblGrid>
      <w:tr w:rsidR="00865326" w:rsidRPr="00865326" w:rsidTr="00B95AB2">
        <w:tc>
          <w:tcPr>
            <w:tcW w:w="4962" w:type="dxa"/>
            <w:shd w:val="clear" w:color="auto" w:fill="auto"/>
          </w:tcPr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286760" cy="2780030"/>
                  <wp:effectExtent l="0" t="0" r="889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8" t="14325" r="39574" b="10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7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Largura da pista de rolamento: 8,10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  <w:t>Comprimento do braço extensor (4): 1,50 metro</w:t>
            </w: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Altura do ponto de luz (1): 7,0 metros;</w:t>
            </w:r>
          </w:p>
          <w:p w:rsidR="00865326" w:rsidRPr="00865326" w:rsidRDefault="00865326" w:rsidP="0086532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60" w:hanging="284"/>
              <w:contextualSpacing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</w:pPr>
            <w:r w:rsidRPr="0086532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pt-BR"/>
              </w:rPr>
              <w:t>Pendor do ponto de luz (2): 1,20 metro.</w:t>
            </w:r>
          </w:p>
          <w:p w:rsidR="00865326" w:rsidRPr="00865326" w:rsidRDefault="00865326" w:rsidP="00865326">
            <w:p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65326" w:rsidRPr="00865326" w:rsidRDefault="00865326" w:rsidP="0086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</w:p>
    <w:p w:rsidR="00FB3B69" w:rsidRDefault="00FB3B69" w:rsidP="00FB3B69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5326" w:rsidRPr="00865326" w:rsidRDefault="00865326" w:rsidP="00865326">
      <w:pPr>
        <w:numPr>
          <w:ilvl w:val="2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>Resultados mínimos do estudo Luminotécnico: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Os resultados mínimos do estudo luminotécnico, para a aceitação do produto, devem ser:</w:t>
      </w: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hanging="13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>Para todas as vias:</w:t>
      </w:r>
    </w:p>
    <w:p w:rsidR="00865326" w:rsidRPr="00865326" w:rsidRDefault="00865326" w:rsidP="00865326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Fator de manutenção 0.70</w:t>
      </w: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hanging="13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Para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V1 – </w:t>
      </w:r>
      <w:r w:rsidRPr="00865326">
        <w:rPr>
          <w:rFonts w:ascii="Times New Roman" w:eastAsia="Calibri" w:hAnsi="Times New Roman" w:cs="Times New Roman"/>
          <w:sz w:val="24"/>
          <w:szCs w:val="24"/>
        </w:rPr>
        <w:t>Calçada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P2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V1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– Iluminância Média Mínima ≥30 lux e Fator de Uniformidade Mínimo ≥0,40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 xml:space="preserve">P2 – 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Iluminância Horizontal Média ≥10 lux e Fator de Uniformidade Mínimo ≥0,25</w:t>
      </w: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hanging="13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V2 – </w:t>
      </w: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Calçada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P2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V2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Iluminância Média Mínima ≥20 lux e Fator de Uniformidade Mínimo ≥0,30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P2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Iluminância Horizontal Média ≥10 lux e Fator de Uniformidade Mínimo ≥0,25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hanging="13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V3 – </w:t>
      </w: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Calçada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P3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V3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Iluminância Média Mínima ≥15 lux e Fator de Uniformidade Mínimo ≥0,20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P3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Iluminância Horizontal Média ≥5 lux e Fator de Uniformidade Mínimo ≥0,20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hanging="13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V4 – </w:t>
      </w: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Calçada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P3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V4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</w:t>
      </w:r>
      <w:bookmarkStart w:id="2" w:name="_Hlk24035442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Iluminância Média Mínima </w:t>
      </w:r>
      <w:bookmarkEnd w:id="2"/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>≥10 lux e Fator de Uniformidade Mínimo ≥0,20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P3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Iluminância Horizontal Média ≥5 lux e Fator de Uniformidade Mínimo ≥0,20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3"/>
          <w:numId w:val="11"/>
        </w:numPr>
        <w:autoSpaceDE w:val="0"/>
        <w:autoSpaceDN w:val="0"/>
        <w:adjustRightInd w:val="0"/>
        <w:spacing w:after="0" w:line="360" w:lineRule="auto"/>
        <w:ind w:hanging="13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Cs/>
          <w:sz w:val="24"/>
          <w:szCs w:val="24"/>
        </w:rPr>
        <w:t xml:space="preserve">Para Via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V5 – </w:t>
      </w: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Calçada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P4</w:t>
      </w:r>
      <w:r w:rsidRPr="0086532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65326" w:rsidRP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V5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Iluminância Média Mínima ≥5 lux e Fator de Uniformidade Mínimo ≥0,20</w:t>
      </w:r>
    </w:p>
    <w:p w:rsidR="00865326" w:rsidRDefault="00865326" w:rsidP="0086532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94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BR"/>
        </w:rPr>
        <w:t>P4</w:t>
      </w:r>
      <w:r w:rsidRPr="008653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  <w:t xml:space="preserve"> - Iluminância Horizontal Média ≥3 lux e Fator de Uniformidade Mínimo ≥0,20</w:t>
      </w:r>
    </w:p>
    <w:p w:rsidR="00FB3B69" w:rsidRPr="00865326" w:rsidRDefault="00FB3B69" w:rsidP="00FB3B6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PARA ASSINATURA DO CONTRATO</w:t>
      </w:r>
    </w:p>
    <w:p w:rsidR="00865326" w:rsidRPr="00865326" w:rsidRDefault="00865326" w:rsidP="00865326">
      <w:pPr>
        <w:spacing w:after="0" w:line="36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No ato da assinatura do contrato deverão estar 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presentes representantes do CONTRATANTE e CONTRATADA, dentre eles, necessariamente, o fiscal e responsável técnico pelo objeto contratado, bem como, supervisor do PARANACIDADE. 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Nessa oportunidade, serão tratadas as especificidades do objeto contratado, devendo o licitante vencedor apresentar:</w:t>
      </w:r>
    </w:p>
    <w:p w:rsidR="00865326" w:rsidRPr="00865326" w:rsidRDefault="00865326" w:rsidP="00865326">
      <w:pPr>
        <w:numPr>
          <w:ilvl w:val="0"/>
          <w:numId w:val="19"/>
        </w:num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Cópia da ART (Anotação de Responsabilidade Técnica) ou outro documento equivalente, devidamente recolhido(a) e assinado(a) pelo profissional, o(a) qual ficará arquivado(a), juntamente com os demais documentos referentes a esta contratação;</w:t>
      </w:r>
    </w:p>
    <w:p w:rsidR="00865326" w:rsidRPr="00865326" w:rsidRDefault="00865326" w:rsidP="00865326">
      <w:pPr>
        <w:numPr>
          <w:ilvl w:val="0"/>
          <w:numId w:val="19"/>
        </w:num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Caso a proponente tenha apresentado, na fase da licitação, um pré-contrato de prestação de serviços com o(s) profissional(</w:t>
      </w:r>
      <w:proofErr w:type="spellStart"/>
      <w:r w:rsidRPr="0086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</w:t>
      </w:r>
      <w:proofErr w:type="spellEnd"/>
      <w:r w:rsidRPr="0086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 necessário(s) à execução das atividades, a mesma fica obrigada a apresentar a comprovação do vínculo contratual ou empregatício com o(s) mesmo(s), sob pena de descumprimento de obrigação estabelecida no Edital, com respectivas sanções administrativas;</w:t>
      </w:r>
    </w:p>
    <w:p w:rsidR="00865326" w:rsidRPr="00865326" w:rsidRDefault="00865326" w:rsidP="00865326">
      <w:pPr>
        <w:numPr>
          <w:ilvl w:val="0"/>
          <w:numId w:val="19"/>
        </w:num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_Hlk22032210"/>
      <w:r w:rsidRPr="0086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 relação nominal do(s) trabalhador(es) capacitado(s) para o desempenho das funções afetas ao pregão, com o(s) respectivo(s) certificado(s) atualizado(s) de conclusão do(s) curso(s) de qualificação (NR10 e NR35), 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bem como, demonstrar a disponibilidade de equipamentos necessários e apropriados ao desempenho dos serviços;</w:t>
      </w:r>
    </w:p>
    <w:p w:rsidR="00865326" w:rsidRDefault="00865326" w:rsidP="00865326">
      <w:pPr>
        <w:numPr>
          <w:ilvl w:val="0"/>
          <w:numId w:val="19"/>
        </w:num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Caso a Contratada decida pela utilização de equipamentos de guindar para elevação de pessoas, deverá comprovar também o curso de qualificação atualizado da Norma Regulamentadora – NR 12.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FB3B69" w:rsidRPr="00865326" w:rsidRDefault="00FB3B69" w:rsidP="00FB3B69">
      <w:pPr>
        <w:spacing w:after="0" w:line="360" w:lineRule="auto"/>
        <w:ind w:left="720" w:right="-1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DA DESCLASSIFICAÇÃO DA PROPONENTE NO CERTAME</w:t>
      </w:r>
    </w:p>
    <w:p w:rsid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prejuízo da aplicação das sanções previstas no edital e legislação vigente, a empresa provisoriamente classificada como primeira colocada que não cumprir todas as exigências técnicas descritas neste Termo de Referência será desclassificada do certame. Em decorrência disso, a próxima empresa melhor classificada será convocada para, no mesmo prazo regulamentar, apresentar os documentos exigidos neste edital. A empresa </w:t>
      </w:r>
      <w:proofErr w:type="gramStart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melhor</w:t>
      </w:r>
      <w:proofErr w:type="gramEnd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classificada que atender às disposições deste Termo e do Edital de Licitação será considerada a vencedora do certame. </w:t>
      </w:r>
    </w:p>
    <w:p w:rsidR="00FB3B69" w:rsidRDefault="00FB3B69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B69" w:rsidRDefault="00FB3B69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B69" w:rsidRDefault="00FB3B69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B69" w:rsidRDefault="00FB3B69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B69" w:rsidRPr="00865326" w:rsidRDefault="00FB3B69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3"/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PRAZO DE EXECUÇÃO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pt-BR"/>
        </w:rPr>
      </w:pPr>
      <w:r w:rsidRPr="00865326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pt-BR"/>
        </w:rPr>
        <w:t xml:space="preserve">O prazo de execução do objeto é de 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instrText xml:space="preserve"> FORMTEXT </w:instrTex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separate"/>
      </w:r>
      <w:r w:rsidRPr="00865326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highlight w:val="yellow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pt-BR"/>
        </w:rPr>
        <w:fldChar w:fldCharType="end"/>
      </w:r>
      <w:r w:rsidRPr="00865326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pt-BR"/>
        </w:rPr>
        <w:t xml:space="preserve"> 120 (cento e vinte) dias, contados a partir da assinatura do contrato. (no caso de fornecimento e instalação de até 1.000 luminárias)</w:t>
      </w:r>
    </w:p>
    <w:p w:rsid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green"/>
          <w:lang w:eastAsia="pt-BR"/>
        </w:rPr>
        <w:t xml:space="preserve">O prazo de execução do objeto é de 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instrText xml:space="preserve"> FORMTEXT </w:instrTex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fldChar w:fldCharType="separate"/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t> </w:t>
      </w:r>
      <w:r w:rsidRPr="00865326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green"/>
          <w:lang w:eastAsia="pt-BR"/>
        </w:rPr>
        <w:fldChar w:fldCharType="end"/>
      </w:r>
      <w:r w:rsidRPr="00865326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green"/>
          <w:lang w:eastAsia="pt-BR"/>
        </w:rPr>
        <w:t xml:space="preserve"> 180 (cento e oitenta) dias, contados a partir da assinatura do contrato. (no caso de fornecimento e instalação de mais de 1.000 luminárias)</w:t>
      </w:r>
    </w:p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86532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</w:rPr>
        <w:t>SUBSTITUIÇÃO DE BRAÇO DE LUMINÁRIA</w:t>
      </w:r>
    </w:p>
    <w:p w:rsid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pt-BR"/>
        </w:rPr>
        <w:t>Os braços de luminária do tipo BR1, caso existam, deverão ser substituídos por braço tipo BR2, no mesmo comprimento desse.</w:t>
      </w:r>
      <w:r w:rsidRPr="00865326"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yellow"/>
          <w:lang w:eastAsia="pt-BR"/>
        </w:rPr>
        <w:t xml:space="preserve"> (a ser definido e especificado conforme situação identificada no local).</w:t>
      </w:r>
    </w:p>
    <w:p w:rsidR="00865326" w:rsidRPr="00865326" w:rsidRDefault="00865326" w:rsidP="00865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t-BR"/>
        </w:rPr>
      </w:pPr>
    </w:p>
    <w:p w:rsidR="00865326" w:rsidRPr="00865326" w:rsidRDefault="00865326" w:rsidP="0086532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>REMOÇÃO DOS EQUIPAMENTOS DE ILUMINAÇÃO EXISTENTES</w:t>
      </w:r>
    </w:p>
    <w:p w:rsidR="00865326" w:rsidRPr="00865326" w:rsidRDefault="00865326" w:rsidP="0086532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326">
        <w:rPr>
          <w:rFonts w:ascii="Times New Roman" w:eastAsia="Calibri" w:hAnsi="Times New Roman" w:cs="Times New Roman"/>
          <w:sz w:val="24"/>
          <w:szCs w:val="24"/>
        </w:rPr>
        <w:t>Sob hipótese alguma as lâmpadas poderão ser quebradas ou descartadas aleatoriamente.</w:t>
      </w:r>
    </w:p>
    <w:p w:rsidR="00865326" w:rsidRPr="00865326" w:rsidRDefault="00865326" w:rsidP="0086532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 CONTRATADA, devidamente credenciada por Órgão Ambiental competente, se compromete e se responsabilizar pela utilização de todas as ferramentas e equipamentos necessários pelo manuseio, remoção, acondicionamento, armazenamento, transporte, até a destinação final apropriada </w:t>
      </w: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do(s) bem(</w:t>
      </w:r>
      <w:proofErr w:type="spellStart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ns</w:t>
      </w:r>
      <w:proofErr w:type="spellEnd"/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>) removido(s)</w:t>
      </w:r>
      <w:r w:rsidRPr="00865326">
        <w:rPr>
          <w:rFonts w:ascii="Times New Roman" w:eastAsia="Calibri" w:hAnsi="Times New Roman" w:cs="Times New Roman"/>
          <w:sz w:val="24"/>
          <w:szCs w:val="24"/>
        </w:rPr>
        <w:t>, devendo, às suas expensas, assegurar-se contra todos os riscos, de acordo com a legislação vigente e normas de segurança estabelecidas pela ABNT.</w:t>
      </w:r>
    </w:p>
    <w:p w:rsidR="00865326" w:rsidRPr="00865326" w:rsidRDefault="00865326" w:rsidP="0086532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sz w:val="24"/>
          <w:szCs w:val="24"/>
        </w:rPr>
        <w:t>Para o pagamento da última parcela a CONTRATADA deverá apresentar o Certificado de Destinação Final – CDF contendo as seguintes informações: empresa geradora, tipo de resíduo, data de encaminhamento e descrição sucinta da técnica de destinação utilizada.</w:t>
      </w: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CDF deve estar assinado pela empresa que deu destinação ao resíduo.</w:t>
      </w:r>
    </w:p>
    <w:p w:rsidR="00865326" w:rsidRPr="00865326" w:rsidRDefault="00865326" w:rsidP="0086532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Certificado de Destinação Final – CDF, deverá constar a relação de todo material retirado (luminárias, lâmpadas, reatores, capacitores, ignitores, relés e conectores), bem como, a quantidade. </w:t>
      </w:r>
    </w:p>
    <w:p w:rsidR="00865326" w:rsidRDefault="00865326" w:rsidP="0086532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entanto, em se tratando de cabos de cobre e dos braços retirados, após a contagem e conferência do fiscal, devem ser entregues no </w:t>
      </w:r>
      <w:r w:rsidRPr="00865326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326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instrText xml:space="preserve"> FORMTEXT </w:instrText>
      </w:r>
      <w:r w:rsidRPr="00865326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r>
      <w:r w:rsidRPr="00865326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fldChar w:fldCharType="separate"/>
      </w:r>
      <w:r w:rsidRPr="00865326">
        <w:rPr>
          <w:rFonts w:ascii="Arial" w:eastAsia="Calibri" w:hAnsi="Arial" w:cs="Arial"/>
          <w:b/>
          <w:noProof/>
          <w:color w:val="000000"/>
          <w:sz w:val="24"/>
          <w:szCs w:val="24"/>
          <w:lang w:eastAsia="ar-SA"/>
        </w:rPr>
        <w:t> </w:t>
      </w:r>
      <w:r w:rsidRPr="00865326">
        <w:rPr>
          <w:rFonts w:ascii="Arial" w:eastAsia="Calibri" w:hAnsi="Arial" w:cs="Arial"/>
          <w:b/>
          <w:noProof/>
          <w:color w:val="000000"/>
          <w:sz w:val="24"/>
          <w:szCs w:val="24"/>
          <w:lang w:eastAsia="ar-SA"/>
        </w:rPr>
        <w:t> </w:t>
      </w:r>
      <w:r w:rsidRPr="00865326">
        <w:rPr>
          <w:rFonts w:ascii="Arial" w:eastAsia="Calibri" w:hAnsi="Arial" w:cs="Arial"/>
          <w:b/>
          <w:noProof/>
          <w:color w:val="000000"/>
          <w:sz w:val="24"/>
          <w:szCs w:val="24"/>
          <w:lang w:eastAsia="ar-SA"/>
        </w:rPr>
        <w:t> </w:t>
      </w:r>
      <w:r w:rsidRPr="00865326">
        <w:rPr>
          <w:rFonts w:ascii="Arial" w:eastAsia="Calibri" w:hAnsi="Arial" w:cs="Arial"/>
          <w:b/>
          <w:noProof/>
          <w:color w:val="000000"/>
          <w:sz w:val="24"/>
          <w:szCs w:val="24"/>
          <w:lang w:eastAsia="ar-SA"/>
        </w:rPr>
        <w:t> </w:t>
      </w:r>
      <w:r w:rsidRPr="00865326">
        <w:rPr>
          <w:rFonts w:ascii="Arial" w:eastAsia="Calibri" w:hAnsi="Arial" w:cs="Arial"/>
          <w:b/>
          <w:noProof/>
          <w:color w:val="000000"/>
          <w:sz w:val="24"/>
          <w:szCs w:val="24"/>
          <w:lang w:eastAsia="ar-SA"/>
        </w:rPr>
        <w:t> </w:t>
      </w:r>
      <w:r w:rsidRPr="00865326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fldChar w:fldCharType="end"/>
      </w:r>
      <w:r w:rsidRPr="00865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Município.</w:t>
      </w:r>
    </w:p>
    <w:p w:rsidR="00865326" w:rsidRPr="00865326" w:rsidRDefault="00865326" w:rsidP="00865326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5326" w:rsidRPr="00865326" w:rsidRDefault="00865326" w:rsidP="00865326">
      <w:pPr>
        <w:spacing w:before="120" w:after="120" w:line="360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DA ENTREGA E DO RECEBIMENTO DO OBJETO </w:t>
      </w:r>
    </w:p>
    <w:p w:rsidR="00865326" w:rsidRPr="00865326" w:rsidRDefault="00865326" w:rsidP="00865326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Os materiais e serviços serão recebidos por ponto onde a luminária estiver substituída. As luminárias novas devem estar corretamente instaladas e funcionando, e o recebimento se dará apenas após contagem e verificação por parte da fiscalização.</w:t>
      </w:r>
    </w:p>
    <w:p w:rsidR="00865326" w:rsidRPr="00865326" w:rsidRDefault="00865326" w:rsidP="00865326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fiscal designado deverá se certificar, a cada luminária removida, a substituição pela licitada, </w:t>
      </w: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podendo, na oportunidade da vistoria, solicitar informações, ficando o contratado obrigado a prestá-las.</w:t>
      </w:r>
    </w:p>
    <w:p w:rsidR="00865326" w:rsidRPr="00865326" w:rsidRDefault="00865326" w:rsidP="00865326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Os bens instalados serão recebidos provisoriamente pelo fiscal, a ser(em) designado(s) para tanto, o(s) qual(</w:t>
      </w:r>
      <w:proofErr w:type="spell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), também, verificará(</w:t>
      </w:r>
      <w:proofErr w:type="spellStart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) a cada pagamento, a consistência e a exatidão da nota fiscal/fatura, apresentada em uma via.</w:t>
      </w:r>
    </w:p>
    <w:p w:rsidR="00865326" w:rsidRPr="00865326" w:rsidRDefault="00865326" w:rsidP="00865326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recebimento definitivo do objeto deste Contrato deverá estar formalizado em até 60 (sessenta) dias do recebimento provisório, decorrido esse prazo, sem qualquer manifestação do Contratante, o(s) objeto(s) será(</w:t>
      </w:r>
      <w:proofErr w:type="spellStart"/>
      <w:r w:rsidRPr="00865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ão</w:t>
      </w:r>
      <w:proofErr w:type="spellEnd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) considerado(</w:t>
      </w:r>
      <w:r w:rsidRPr="00865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) como recebido(</w:t>
      </w:r>
      <w:r w:rsidRPr="0086532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</w:t>
      </w: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) definitivamente.</w:t>
      </w:r>
    </w:p>
    <w:p w:rsidR="00865326" w:rsidRPr="00865326" w:rsidRDefault="00865326" w:rsidP="00865326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não se responsabilizará pelo transporte, armazenamento, instalações inadequadas e/ou guarda do(s) bem(</w:t>
      </w:r>
      <w:proofErr w:type="spellStart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ns</w:t>
      </w:r>
      <w:proofErr w:type="spellEnd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865326" w:rsidRPr="00865326" w:rsidRDefault="00865326" w:rsidP="00865326">
      <w:pPr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326" w:rsidRPr="00865326" w:rsidRDefault="00865326" w:rsidP="00865326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bookmarkStart w:id="4" w:name="_Hlk24443010"/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PAGAMENTO DA ÚLTIMA PARCELA FICA CONDICIONADO A APRESENTAÇÃO:     </w:t>
      </w:r>
    </w:p>
    <w:p w:rsidR="00865326" w:rsidRPr="00865326" w:rsidRDefault="00865326" w:rsidP="00865326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spellStart"/>
      <w:r w:rsidRPr="00865326">
        <w:rPr>
          <w:rFonts w:ascii="Times New Roman" w:eastAsia="Calibri" w:hAnsi="Times New Roman" w:cs="Times New Roman"/>
          <w:sz w:val="24"/>
          <w:szCs w:val="24"/>
        </w:rPr>
        <w:t>Protoloco</w:t>
      </w:r>
      <w:proofErr w:type="spellEnd"/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 de entrega da atualização do Cadastro dos serviços executados junto a Concessionária; </w:t>
      </w:r>
    </w:p>
    <w:p w:rsidR="00865326" w:rsidRPr="00865326" w:rsidRDefault="00865326" w:rsidP="00865326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CDF – Certificado de Destinação Final, que será arquivado juntamente as medições dos serviços; </w:t>
      </w:r>
      <w:r w:rsidRPr="008653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</w:t>
      </w:r>
      <w:r w:rsidRPr="00865326">
        <w:rPr>
          <w:rFonts w:ascii="Times New Roman" w:eastAsia="Calibri" w:hAnsi="Times New Roman" w:cs="Times New Roman"/>
          <w:sz w:val="24"/>
          <w:szCs w:val="24"/>
        </w:rPr>
        <w:t>Termo de Recebimento Provisório.</w:t>
      </w:r>
    </w:p>
    <w:p w:rsidR="00865326" w:rsidRPr="00865326" w:rsidRDefault="00865326" w:rsidP="0086532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8653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53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bookmarkEnd w:id="4"/>
    </w:p>
    <w:p w:rsidR="00865326" w:rsidRPr="00865326" w:rsidRDefault="00865326" w:rsidP="00865326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_Hlk24443286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___, ___ de ____ </w:t>
      </w:r>
      <w:proofErr w:type="spellStart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20_.</w:t>
      </w:r>
    </w:p>
    <w:p w:rsidR="00865326" w:rsidRPr="00865326" w:rsidRDefault="00865326" w:rsidP="00865326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5326" w:rsidRPr="00865326" w:rsidRDefault="00865326" w:rsidP="0086532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326">
        <w:rPr>
          <w:rFonts w:ascii="Times New Roman" w:eastAsia="Times New Roman" w:hAnsi="Times New Roman" w:cs="Times New Roman"/>
          <w:sz w:val="24"/>
          <w:szCs w:val="24"/>
          <w:lang w:eastAsia="pt-BR"/>
        </w:rPr>
        <w:t>(nome, RG e assinatura do responsável técnico da PM)</w:t>
      </w:r>
    </w:p>
    <w:bookmarkEnd w:id="5"/>
    <w:p w:rsidR="003215F2" w:rsidRDefault="003215F2"/>
    <w:sectPr w:rsidR="00321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24" w:rsidRDefault="002D4724" w:rsidP="00865326">
      <w:pPr>
        <w:spacing w:after="0" w:line="240" w:lineRule="auto"/>
      </w:pPr>
      <w:r>
        <w:separator/>
      </w:r>
    </w:p>
  </w:endnote>
  <w:endnote w:type="continuationSeparator" w:id="0">
    <w:p w:rsidR="002D4724" w:rsidRDefault="002D4724" w:rsidP="0086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24" w:rsidRDefault="002D4724" w:rsidP="00865326">
      <w:pPr>
        <w:spacing w:after="0" w:line="240" w:lineRule="auto"/>
      </w:pPr>
      <w:r>
        <w:separator/>
      </w:r>
    </w:p>
  </w:footnote>
  <w:footnote w:type="continuationSeparator" w:id="0">
    <w:p w:rsidR="002D4724" w:rsidRDefault="002D4724" w:rsidP="00865326">
      <w:pPr>
        <w:spacing w:after="0" w:line="240" w:lineRule="auto"/>
      </w:pPr>
      <w:r>
        <w:continuationSeparator/>
      </w:r>
    </w:p>
  </w:footnote>
  <w:footnote w:id="1">
    <w:p w:rsidR="00865326" w:rsidRPr="00380261" w:rsidRDefault="00865326" w:rsidP="00865326">
      <w:pPr>
        <w:pStyle w:val="Textodenotaderodap"/>
        <w:jc w:val="both"/>
        <w:rPr>
          <w:rFonts w:ascii="Times New Roman" w:hAnsi="Times New Roman"/>
          <w:color w:val="000000"/>
        </w:rPr>
      </w:pPr>
      <w:r w:rsidRPr="00380261">
        <w:rPr>
          <w:rStyle w:val="Refdenotaderodap"/>
          <w:rFonts w:ascii="Times New Roman" w:hAnsi="Times New Roman"/>
          <w:color w:val="000000"/>
        </w:rPr>
        <w:footnoteRef/>
      </w:r>
      <w:r w:rsidRPr="00380261">
        <w:rPr>
          <w:rFonts w:ascii="Times New Roman" w:hAnsi="Times New Roman"/>
          <w:color w:val="000000"/>
        </w:rPr>
        <w:t xml:space="preserve"> Para as vias classificadas como </w:t>
      </w:r>
      <w:r w:rsidRPr="00380261">
        <w:rPr>
          <w:rFonts w:ascii="Times New Roman" w:hAnsi="Times New Roman"/>
          <w:b/>
          <w:color w:val="000000"/>
        </w:rPr>
        <w:t>V1</w:t>
      </w:r>
      <w:r w:rsidRPr="00380261">
        <w:rPr>
          <w:rFonts w:ascii="Times New Roman" w:hAnsi="Times New Roman"/>
          <w:color w:val="000000"/>
        </w:rPr>
        <w:t>, é admissível a apresentação de luminária com distribuição longitudinal longa.</w:t>
      </w:r>
    </w:p>
  </w:footnote>
  <w:footnote w:id="2">
    <w:p w:rsidR="00865326" w:rsidRPr="00380261" w:rsidRDefault="00865326" w:rsidP="00865326">
      <w:pPr>
        <w:pStyle w:val="Textodenotaderodap"/>
        <w:jc w:val="both"/>
        <w:rPr>
          <w:rFonts w:ascii="Times New Roman" w:hAnsi="Times New Roman"/>
        </w:rPr>
      </w:pPr>
      <w:r w:rsidRPr="00380261">
        <w:rPr>
          <w:rStyle w:val="Refdenotaderodap"/>
          <w:rFonts w:ascii="Times New Roman" w:hAnsi="Times New Roman"/>
          <w:color w:val="000000"/>
        </w:rPr>
        <w:footnoteRef/>
      </w:r>
      <w:r w:rsidRPr="00380261">
        <w:rPr>
          <w:rFonts w:ascii="Times New Roman" w:hAnsi="Times New Roman"/>
          <w:color w:val="000000"/>
        </w:rPr>
        <w:t xml:space="preserve"> Para as vias classificadas como </w:t>
      </w:r>
      <w:r w:rsidRPr="00380261">
        <w:rPr>
          <w:rFonts w:ascii="Times New Roman" w:hAnsi="Times New Roman"/>
          <w:b/>
          <w:color w:val="000000"/>
        </w:rPr>
        <w:t>V1</w:t>
      </w:r>
      <w:r w:rsidRPr="00380261">
        <w:rPr>
          <w:rFonts w:ascii="Times New Roman" w:hAnsi="Times New Roman"/>
          <w:color w:val="000000"/>
        </w:rPr>
        <w:t>, é admissível a apresentação de luminária com distribuição transversal tipo III.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30090D"/>
    <w:multiLevelType w:val="hybridMultilevel"/>
    <w:tmpl w:val="04A812D0"/>
    <w:lvl w:ilvl="0" w:tplc="37C26BB0">
      <w:start w:val="1"/>
      <w:numFmt w:val="upp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0B6"/>
    <w:multiLevelType w:val="hybridMultilevel"/>
    <w:tmpl w:val="962492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964"/>
    <w:multiLevelType w:val="hybridMultilevel"/>
    <w:tmpl w:val="EDDCB2BE"/>
    <w:lvl w:ilvl="0" w:tplc="0416001B">
      <w:start w:val="1"/>
      <w:numFmt w:val="lowerRoman"/>
      <w:lvlText w:val="%1."/>
      <w:lvlJc w:val="right"/>
      <w:pPr>
        <w:ind w:left="3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0" w:hanging="360"/>
      </w:pPr>
    </w:lvl>
    <w:lvl w:ilvl="2" w:tplc="0416001B" w:tentative="1">
      <w:start w:val="1"/>
      <w:numFmt w:val="lowerRoman"/>
      <w:lvlText w:val="%3."/>
      <w:lvlJc w:val="right"/>
      <w:pPr>
        <w:ind w:left="5060" w:hanging="180"/>
      </w:pPr>
    </w:lvl>
    <w:lvl w:ilvl="3" w:tplc="0416000F" w:tentative="1">
      <w:start w:val="1"/>
      <w:numFmt w:val="decimal"/>
      <w:lvlText w:val="%4."/>
      <w:lvlJc w:val="left"/>
      <w:pPr>
        <w:ind w:left="5780" w:hanging="360"/>
      </w:pPr>
    </w:lvl>
    <w:lvl w:ilvl="4" w:tplc="04160019" w:tentative="1">
      <w:start w:val="1"/>
      <w:numFmt w:val="lowerLetter"/>
      <w:lvlText w:val="%5."/>
      <w:lvlJc w:val="left"/>
      <w:pPr>
        <w:ind w:left="6500" w:hanging="360"/>
      </w:pPr>
    </w:lvl>
    <w:lvl w:ilvl="5" w:tplc="0416001B" w:tentative="1">
      <w:start w:val="1"/>
      <w:numFmt w:val="lowerRoman"/>
      <w:lvlText w:val="%6."/>
      <w:lvlJc w:val="right"/>
      <w:pPr>
        <w:ind w:left="7220" w:hanging="180"/>
      </w:pPr>
    </w:lvl>
    <w:lvl w:ilvl="6" w:tplc="0416000F" w:tentative="1">
      <w:start w:val="1"/>
      <w:numFmt w:val="decimal"/>
      <w:lvlText w:val="%7."/>
      <w:lvlJc w:val="left"/>
      <w:pPr>
        <w:ind w:left="7940" w:hanging="360"/>
      </w:pPr>
    </w:lvl>
    <w:lvl w:ilvl="7" w:tplc="04160019" w:tentative="1">
      <w:start w:val="1"/>
      <w:numFmt w:val="lowerLetter"/>
      <w:lvlText w:val="%8."/>
      <w:lvlJc w:val="left"/>
      <w:pPr>
        <w:ind w:left="8660" w:hanging="360"/>
      </w:pPr>
    </w:lvl>
    <w:lvl w:ilvl="8" w:tplc="0416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 w15:restartNumberingAfterBreak="0">
    <w:nsid w:val="215D23E2"/>
    <w:multiLevelType w:val="hybridMultilevel"/>
    <w:tmpl w:val="BACC97E2"/>
    <w:lvl w:ilvl="0" w:tplc="546C4CB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2613C9"/>
    <w:multiLevelType w:val="hybridMultilevel"/>
    <w:tmpl w:val="6F42C2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3E22"/>
    <w:multiLevelType w:val="multilevel"/>
    <w:tmpl w:val="EC9019DE"/>
    <w:lvl w:ilvl="0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%2.1"/>
      <w:lvlJc w:val="left"/>
      <w:pPr>
        <w:ind w:left="1440" w:hanging="816"/>
      </w:pPr>
      <w:rPr>
        <w:rFonts w:hint="default"/>
      </w:rPr>
    </w:lvl>
    <w:lvl w:ilvl="2">
      <w:start w:val="1"/>
      <w:numFmt w:val="decimal"/>
      <w:lvlText w:val="0%3.1.1"/>
      <w:lvlJc w:val="right"/>
      <w:pPr>
        <w:tabs>
          <w:tab w:val="num" w:pos="2325"/>
        </w:tabs>
        <w:ind w:left="2325" w:firstLine="0"/>
      </w:pPr>
      <w:rPr>
        <w:rFonts w:hint="default"/>
      </w:rPr>
    </w:lvl>
    <w:lvl w:ilvl="3">
      <w:start w:val="1"/>
      <w:numFmt w:val="none"/>
      <w:lvlText w:val="01.1.1.1"/>
      <w:lvlJc w:val="left"/>
      <w:pPr>
        <w:ind w:left="3799" w:hanging="136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9B570C"/>
    <w:multiLevelType w:val="hybridMultilevel"/>
    <w:tmpl w:val="0CAA3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55F3"/>
    <w:multiLevelType w:val="hybridMultilevel"/>
    <w:tmpl w:val="3D6489B0"/>
    <w:name w:val="WW8Num22222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A1245"/>
    <w:multiLevelType w:val="hybridMultilevel"/>
    <w:tmpl w:val="26469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71D4"/>
    <w:multiLevelType w:val="multilevel"/>
    <w:tmpl w:val="0416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608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22E71"/>
    <w:multiLevelType w:val="multilevel"/>
    <w:tmpl w:val="00A0306E"/>
    <w:lvl w:ilvl="0">
      <w:start w:val="15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446A1F"/>
    <w:multiLevelType w:val="hybridMultilevel"/>
    <w:tmpl w:val="FC9ED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A50AC2"/>
    <w:multiLevelType w:val="multilevel"/>
    <w:tmpl w:val="742EA30A"/>
    <w:styleLink w:val="Estilo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763"/>
    <w:multiLevelType w:val="hybridMultilevel"/>
    <w:tmpl w:val="E7320D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5F8C"/>
    <w:multiLevelType w:val="hybridMultilevel"/>
    <w:tmpl w:val="8B105712"/>
    <w:lvl w:ilvl="0" w:tplc="04160011">
      <w:start w:val="1"/>
      <w:numFmt w:val="decimal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72EA"/>
    <w:multiLevelType w:val="multilevel"/>
    <w:tmpl w:val="B5040D20"/>
    <w:styleLink w:val="Estilo1"/>
    <w:lvl w:ilvl="0">
      <w:start w:val="2"/>
      <w:numFmt w:val="decimal"/>
      <w:lvlText w:val="1.%1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C178F8"/>
    <w:multiLevelType w:val="hybridMultilevel"/>
    <w:tmpl w:val="435208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66463"/>
    <w:multiLevelType w:val="hybridMultilevel"/>
    <w:tmpl w:val="DEF636F6"/>
    <w:lvl w:ilvl="0" w:tplc="043AA35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861F68"/>
    <w:multiLevelType w:val="multilevel"/>
    <w:tmpl w:val="6BF4C89E"/>
    <w:styleLink w:val="Estilo3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lvlText w:val="16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D8E7A70"/>
    <w:multiLevelType w:val="hybridMultilevel"/>
    <w:tmpl w:val="4A224C14"/>
    <w:lvl w:ilvl="0" w:tplc="699CF7AC">
      <w:start w:val="10"/>
      <w:numFmt w:val="decimal"/>
      <w:lvlText w:val="%1."/>
      <w:lvlJc w:val="left"/>
      <w:pPr>
        <w:ind w:left="376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9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7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26"/>
    <w:rsid w:val="002D4724"/>
    <w:rsid w:val="003215F2"/>
    <w:rsid w:val="007B365E"/>
    <w:rsid w:val="00865326"/>
    <w:rsid w:val="00CC369D"/>
    <w:rsid w:val="00D55A7E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578E"/>
  <w15:chartTrackingRefBased/>
  <w15:docId w15:val="{98853E4C-413E-4D12-BEFE-239BA2C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65326"/>
    <w:pPr>
      <w:keepNext/>
      <w:keepLines/>
      <w:spacing w:before="240" w:after="0" w:line="240" w:lineRule="auto"/>
      <w:outlineLvl w:val="0"/>
    </w:pPr>
    <w:rPr>
      <w:rFonts w:ascii="Cambria" w:eastAsia="MS Gothic" w:hAnsi="Cambria" w:cs="Times New Roman"/>
      <w:color w:val="365F91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5326"/>
    <w:pPr>
      <w:keepNext/>
      <w:tabs>
        <w:tab w:val="left" w:pos="1701"/>
      </w:tabs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865326"/>
    <w:pPr>
      <w:keepNext/>
      <w:keepLines/>
      <w:spacing w:before="40" w:after="0" w:line="240" w:lineRule="auto"/>
      <w:outlineLvl w:val="6"/>
    </w:pPr>
    <w:rPr>
      <w:rFonts w:ascii="Cambria" w:eastAsia="MS Gothic" w:hAnsi="Cambria" w:cs="Times New Roman"/>
      <w:i/>
      <w:iCs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5326"/>
    <w:rPr>
      <w:rFonts w:ascii="Cambria" w:eastAsia="MS Gothic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865326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65326"/>
    <w:rPr>
      <w:rFonts w:ascii="Cambria" w:eastAsia="MS Gothic" w:hAnsi="Cambria" w:cs="Times New Roman"/>
      <w:i/>
      <w:iCs/>
      <w:color w:val="243F60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5326"/>
  </w:style>
  <w:style w:type="paragraph" w:styleId="PargrafodaLista">
    <w:name w:val="List Paragraph"/>
    <w:basedOn w:val="Normal"/>
    <w:uiPriority w:val="34"/>
    <w:qFormat/>
    <w:rsid w:val="00865326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6532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6532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865326"/>
    <w:pPr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normalchar1">
    <w:name w:val="normal__char1"/>
    <w:rsid w:val="0086532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65326"/>
  </w:style>
  <w:style w:type="character" w:styleId="Hyperlink">
    <w:name w:val="Hyperlink"/>
    <w:rsid w:val="0086532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86532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6532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865326"/>
    <w:pPr>
      <w:numPr>
        <w:numId w:val="1"/>
      </w:numPr>
      <w:spacing w:after="0" w:line="240" w:lineRule="auto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citao2">
    <w:name w:val="citação 2"/>
    <w:basedOn w:val="Citao"/>
    <w:link w:val="citao2Char"/>
    <w:rsid w:val="00865326"/>
    <w:rPr>
      <w:szCs w:val="20"/>
    </w:rPr>
  </w:style>
  <w:style w:type="character" w:customStyle="1" w:styleId="citao2Char">
    <w:name w:val="citação 2 Char"/>
    <w:link w:val="citao2"/>
    <w:rsid w:val="00865326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865326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6532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65326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865326"/>
    <w:rPr>
      <w:rFonts w:ascii="Ecofont_Spranq_eco_Sans" w:eastAsia="Times New Roman" w:hAnsi="Ecofont_Spranq_eco_Sans" w:cs="Tahoma"/>
      <w:sz w:val="24"/>
      <w:szCs w:val="24"/>
      <w:lang w:eastAsia="pt-BR"/>
    </w:rPr>
  </w:style>
  <w:style w:type="numbering" w:customStyle="1" w:styleId="Estilo1">
    <w:name w:val="Estilo1"/>
    <w:uiPriority w:val="99"/>
    <w:rsid w:val="00865326"/>
    <w:pPr>
      <w:numPr>
        <w:numId w:val="2"/>
      </w:numPr>
    </w:pPr>
  </w:style>
  <w:style w:type="numbering" w:customStyle="1" w:styleId="Estilo2">
    <w:name w:val="Estilo2"/>
    <w:uiPriority w:val="99"/>
    <w:rsid w:val="00865326"/>
    <w:pPr>
      <w:numPr>
        <w:numId w:val="3"/>
      </w:numPr>
    </w:pPr>
  </w:style>
  <w:style w:type="numbering" w:customStyle="1" w:styleId="Estilo3">
    <w:name w:val="Estilo3"/>
    <w:uiPriority w:val="99"/>
    <w:rsid w:val="00865326"/>
    <w:pPr>
      <w:numPr>
        <w:numId w:val="4"/>
      </w:numPr>
    </w:pPr>
  </w:style>
  <w:style w:type="paragraph" w:customStyle="1" w:styleId="Nivel01">
    <w:name w:val="Nivel 01"/>
    <w:basedOn w:val="Ttulo1"/>
    <w:next w:val="Normal"/>
    <w:link w:val="Nivel01Char"/>
    <w:qFormat/>
    <w:rsid w:val="00865326"/>
    <w:pPr>
      <w:tabs>
        <w:tab w:val="left" w:pos="567"/>
      </w:tabs>
      <w:jc w:val="both"/>
    </w:pPr>
    <w:rPr>
      <w:rFonts w:ascii="Ecofont_Spranq_eco_Sans" w:hAnsi="Ecofont_Spranq_eco_Sans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86532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01Char">
    <w:name w:val="Nivel 01 Char"/>
    <w:link w:val="Nivel01"/>
    <w:rsid w:val="00865326"/>
    <w:rPr>
      <w:rFonts w:ascii="Ecofont_Spranq_eco_Sans" w:eastAsia="MS Gothic" w:hAnsi="Ecofont_Spranq_eco_Sans" w:cs="Times New Roman"/>
      <w:b/>
      <w:bCs/>
      <w:color w:val="000000"/>
      <w:sz w:val="20"/>
      <w:szCs w:val="20"/>
      <w:lang w:eastAsia="pt-BR"/>
    </w:rPr>
  </w:style>
  <w:style w:type="character" w:styleId="Refdecomentrio">
    <w:name w:val="annotation reference"/>
    <w:semiHidden/>
    <w:unhideWhenUsed/>
    <w:rsid w:val="0086532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65326"/>
    <w:pPr>
      <w:spacing w:after="0" w:line="240" w:lineRule="auto"/>
    </w:pPr>
    <w:rPr>
      <w:rFonts w:ascii="Ecofont_Spranq_eco_Sans" w:eastAsia="MS Mincho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865326"/>
    <w:rPr>
      <w:rFonts w:ascii="Ecofont_Spranq_eco_Sans" w:eastAsia="MS Mincho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65326"/>
    <w:rPr>
      <w:rFonts w:eastAsia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65326"/>
    <w:rPr>
      <w:rFonts w:ascii="Ecofont_Spranq_eco_Sans" w:eastAsia="Times New Roman" w:hAnsi="Ecofont_Spranq_eco_Sans" w:cs="Tahom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6532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65326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653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styleId="Meno">
    <w:name w:val="Mention"/>
    <w:uiPriority w:val="99"/>
    <w:semiHidden/>
    <w:unhideWhenUsed/>
    <w:rsid w:val="00865326"/>
    <w:rPr>
      <w:color w:val="2B579A"/>
      <w:shd w:val="clear" w:color="auto" w:fill="E6E6E6"/>
    </w:rPr>
  </w:style>
  <w:style w:type="paragraph" w:customStyle="1" w:styleId="Standard">
    <w:name w:val="Standard"/>
    <w:rsid w:val="0086532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paragraph" w:styleId="Legenda">
    <w:name w:val="caption"/>
    <w:basedOn w:val="Normal"/>
    <w:qFormat/>
    <w:rsid w:val="0086532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65326"/>
    <w:pPr>
      <w:spacing w:after="120" w:line="480" w:lineRule="auto"/>
      <w:ind w:left="283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6532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65326"/>
    <w:pPr>
      <w:spacing w:after="120" w:line="240" w:lineRule="auto"/>
      <w:ind w:left="283"/>
    </w:pPr>
    <w:rPr>
      <w:rFonts w:ascii="Ecofont_Spranq_eco_Sans" w:eastAsia="Times New Roman" w:hAnsi="Ecofont_Spranq_eco_Sans" w:cs="Tahom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65326"/>
    <w:rPr>
      <w:rFonts w:ascii="Ecofont_Spranq_eco_Sans" w:eastAsia="Times New Roman" w:hAnsi="Ecofont_Spranq_eco_Sans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865326"/>
    <w:pPr>
      <w:spacing w:after="120" w:line="48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6532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Rodap1">
    <w:name w:val="Rodapé1"/>
    <w:basedOn w:val="Normal"/>
    <w:rsid w:val="00865326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865326"/>
    <w:pPr>
      <w:widowControl w:val="0"/>
      <w:suppressAutoHyphens/>
      <w:spacing w:after="0" w:line="240" w:lineRule="auto"/>
      <w:ind w:left="1276" w:hanging="56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86532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86532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865326"/>
    <w:pPr>
      <w:widowControl w:val="0"/>
      <w:suppressAutoHyphens/>
      <w:spacing w:after="60" w:line="240" w:lineRule="auto"/>
      <w:jc w:val="center"/>
      <w:outlineLvl w:val="1"/>
    </w:pPr>
    <w:rPr>
      <w:rFonts w:ascii="Arial" w:eastAsia="Arial Unicode MS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65326"/>
    <w:rPr>
      <w:rFonts w:ascii="Arial" w:eastAsia="Arial Unicode MS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865326"/>
    <w:pPr>
      <w:spacing w:before="100" w:after="0" w:line="240" w:lineRule="auto"/>
      <w:jc w:val="both"/>
    </w:pPr>
    <w:rPr>
      <w:rFonts w:ascii="Arial Unicode MS" w:eastAsia="Arial Unicode MS" w:hAnsi="Arial Unicode MS" w:cs="Arial Unicode MS"/>
      <w:color w:val="000000"/>
      <w:sz w:val="18"/>
      <w:szCs w:val="18"/>
      <w:lang w:eastAsia="pt-BR"/>
    </w:rPr>
  </w:style>
  <w:style w:type="paragraph" w:customStyle="1" w:styleId="contedo-do-quadro-western">
    <w:name w:val="conteúdo-do-quadro-western"/>
    <w:basedOn w:val="Normal"/>
    <w:rsid w:val="00865326"/>
    <w:pPr>
      <w:spacing w:before="100" w:after="0" w:line="240" w:lineRule="auto"/>
      <w:jc w:val="both"/>
    </w:pPr>
    <w:rPr>
      <w:rFonts w:ascii="Arial Unicode MS" w:eastAsia="Arial Unicode MS" w:hAnsi="Arial Unicode MS" w:cs="Arial Unicode MS"/>
      <w:color w:val="000000"/>
      <w:sz w:val="18"/>
      <w:szCs w:val="18"/>
      <w:lang w:eastAsia="pt-BR"/>
    </w:rPr>
  </w:style>
  <w:style w:type="paragraph" w:customStyle="1" w:styleId="Contedodoquadro">
    <w:name w:val="Conteúdo do quadro"/>
    <w:basedOn w:val="Corpodetexto"/>
    <w:rsid w:val="00865326"/>
    <w:pPr>
      <w:widowControl/>
    </w:pPr>
    <w:rPr>
      <w:rFonts w:eastAsia="Times New Roman"/>
      <w:sz w:val="20"/>
      <w:szCs w:val="20"/>
      <w:lang w:eastAsia="ar-SA"/>
    </w:rPr>
  </w:style>
  <w:style w:type="character" w:styleId="Nmerodepgina">
    <w:name w:val="page number"/>
    <w:basedOn w:val="Fontepargpadro"/>
    <w:semiHidden/>
    <w:rsid w:val="00865326"/>
  </w:style>
  <w:style w:type="character" w:styleId="MenoPendente">
    <w:name w:val="Unresolved Mention"/>
    <w:uiPriority w:val="99"/>
    <w:semiHidden/>
    <w:unhideWhenUsed/>
    <w:rsid w:val="0086532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65326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86532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53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532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65326"/>
    <w:rPr>
      <w:vertAlign w:val="superscript"/>
    </w:rPr>
  </w:style>
  <w:style w:type="character" w:customStyle="1" w:styleId="fontstyle01">
    <w:name w:val="fontstyle01"/>
    <w:rsid w:val="0086532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8653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865326"/>
    <w:pPr>
      <w:spacing w:after="120" w:line="240" w:lineRule="auto"/>
    </w:pPr>
    <w:rPr>
      <w:rFonts w:ascii="Ecofont_Spranq_eco_Sans" w:eastAsia="Times New Roman" w:hAnsi="Ecofont_Spranq_eco_Sans" w:cs="Tahoma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65326"/>
    <w:rPr>
      <w:rFonts w:ascii="Ecofont_Spranq_eco_Sans" w:eastAsia="Times New Roman" w:hAnsi="Ecofont_Spranq_eco_Sans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65326"/>
    <w:pPr>
      <w:spacing w:after="120" w:line="240" w:lineRule="auto"/>
      <w:ind w:left="283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65326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st">
    <w:name w:val="st"/>
    <w:rsid w:val="0086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2337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Domingues Caetano</dc:creator>
  <cp:keywords/>
  <dc:description/>
  <cp:lastModifiedBy>Fernando Domingues Caetano</cp:lastModifiedBy>
  <cp:revision>3</cp:revision>
  <dcterms:created xsi:type="dcterms:W3CDTF">2019-11-13T17:04:00Z</dcterms:created>
  <dcterms:modified xsi:type="dcterms:W3CDTF">2019-11-13T17:45:00Z</dcterms:modified>
</cp:coreProperties>
</file>